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071B" w14:textId="2DA96B8E" w:rsidR="00C41DF7" w:rsidRDefault="00C41DF7" w:rsidP="00C41DF7">
      <w:pPr>
        <w:pStyle w:val="berschrift"/>
      </w:pPr>
      <w:r w:rsidRPr="00C41DF7">
        <w:t>Mikro-SchiLFs: Beispiel einer Planung</w:t>
      </w:r>
      <w:r w:rsidRPr="00C41DF7">
        <w:t xml:space="preserve"> </w:t>
      </w:r>
    </w:p>
    <w:p w14:paraId="38BF5A31" w14:textId="77777777" w:rsidR="00C41DF7" w:rsidRPr="00C41DF7" w:rsidRDefault="00C41DF7" w:rsidP="00C41DF7">
      <w:pPr>
        <w:pStyle w:val="TextBlocksatz"/>
      </w:pPr>
      <w:r w:rsidRPr="00C41DF7">
        <w:t>Mikro-SchiLFs sind ein geeignetes Mittel, um die Motiva</w:t>
      </w:r>
      <w:r w:rsidRPr="00C41DF7">
        <w:softHyphen/>
        <w:t>tion für einen TAFF-Schulentwicklungsprozess langfristig zu erhalten. Im Kollegium sind oftmals viele Kompetenzen vorhanden. Über Mikro-SchiLFs lassen sich diese Poten</w:t>
      </w:r>
      <w:r w:rsidRPr="00C41DF7">
        <w:softHyphen/>
        <w:t>ziale nutzbar machen. Mikro-SchiLFs sind kurze schulin</w:t>
      </w:r>
      <w:r w:rsidRPr="00C41DF7">
        <w:softHyphen/>
        <w:t>terne Fortbildungsangebote von Kollegen/-innen für Kolle</w:t>
      </w:r>
      <w:r w:rsidRPr="00C41DF7">
        <w:softHyphen/>
        <w:t>gen/-innen, um gegenseitig voneinander und miteinander zu lernen. So kann der TAFF-Ansatz im Rahmen von kur</w:t>
      </w:r>
      <w:r w:rsidRPr="00C41DF7">
        <w:softHyphen/>
        <w:t xml:space="preserve">zen, wiederkehrenden Veranstaltungen vertieft und damit immer wieder in den Fokus jedes/-r einzelnen Kollegen/-in gerückt werden, sodass er Bestandteil der Schulkultur wird. Mikro-SchiLFs sind anwendungsorientiert und gut geeignet, um das Kollegium untereinander zu vernetzen. </w:t>
      </w:r>
    </w:p>
    <w:p w14:paraId="1FF3E13F" w14:textId="77777777" w:rsidR="00C41DF7" w:rsidRPr="00C41DF7" w:rsidRDefault="00C41DF7" w:rsidP="00C41DF7">
      <w:pPr>
        <w:pStyle w:val="TextBlocksatz"/>
      </w:pPr>
      <w:r w:rsidRPr="00C41DF7">
        <w:t>Folgende Planung zeigt beispielhaft, wie der TAFF-Ansatz mithilfe von Mikro-SchiLFs an fünf über das Schuljahr ver</w:t>
      </w:r>
      <w:r w:rsidRPr="00C41DF7">
        <w:softHyphen/>
        <w:t>teilten Terminen Kollegen nähergebracht werden kann. Sie orientieren sich an den 5 Schritten des TAFF-Ansatzes und beinhalten Vorbereitungs- und Nachbereitungsaufgaben.</w:t>
      </w:r>
    </w:p>
    <w:p w14:paraId="3DF12024" w14:textId="77777777" w:rsidR="00C41DF7" w:rsidRPr="00C41DF7" w:rsidRDefault="00C41DF7" w:rsidP="00C41DF7">
      <w:pPr>
        <w:pStyle w:val="TextBlocksatz"/>
      </w:pPr>
    </w:p>
    <w:p w14:paraId="666AC750" w14:textId="77777777" w:rsidR="00C41DF7" w:rsidRPr="00C41DF7" w:rsidRDefault="00C41DF7" w:rsidP="00C41DF7">
      <w:pPr>
        <w:pStyle w:val="Zwischenberschrift"/>
        <w:rPr>
          <w:b w:val="0"/>
          <w:bCs w:val="0"/>
        </w:rPr>
      </w:pPr>
      <w:r w:rsidRPr="00C41DF7">
        <w:rPr>
          <w:b w:val="0"/>
          <w:bCs w:val="0"/>
        </w:rPr>
        <w:t xml:space="preserve">Vorbereitung: </w:t>
      </w:r>
    </w:p>
    <w:p w14:paraId="5E01C6D3" w14:textId="1A40EEC4" w:rsidR="00C41DF7" w:rsidRPr="00C41DF7" w:rsidRDefault="00C41DF7" w:rsidP="00C41DF7">
      <w:pPr>
        <w:pStyle w:val="TextBlocksatz"/>
      </w:pPr>
      <w:r w:rsidRPr="00C41DF7">
        <w:t xml:space="preserve">Die Teilnehmer informieren sich über das TAFF-Konzept und notieren ihre Fragen. </w:t>
      </w:r>
    </w:p>
    <w:p w14:paraId="05357E53" w14:textId="77777777" w:rsidR="00C41DF7" w:rsidRPr="00C41DF7" w:rsidRDefault="00C41DF7" w:rsidP="00C41DF7">
      <w:pPr>
        <w:pStyle w:val="TextBlocksatz"/>
      </w:pPr>
    </w:p>
    <w:p w14:paraId="56029A84" w14:textId="3D1384C4" w:rsidR="00C41DF7" w:rsidRPr="00C41DF7" w:rsidRDefault="00C41DF7" w:rsidP="00C41DF7">
      <w:pPr>
        <w:pStyle w:val="Zwischenberschrift"/>
      </w:pPr>
      <w:r w:rsidRPr="00C41DF7">
        <w:t>SchiLF 1: Mit Lehrkräften über Stärken und Talente sprechen – Begriffe klären und Potenziale thematisieren</w:t>
      </w:r>
    </w:p>
    <w:p w14:paraId="22F04C9E" w14:textId="141DCB07" w:rsidR="00C41DF7" w:rsidRPr="00C41DF7" w:rsidRDefault="00C41DF7" w:rsidP="00245A09">
      <w:pPr>
        <w:pStyle w:val="TextBlocksatz"/>
        <w:numPr>
          <w:ilvl w:val="0"/>
          <w:numId w:val="2"/>
        </w:numPr>
        <w:rPr>
          <w:b/>
          <w:bCs/>
        </w:rPr>
      </w:pPr>
      <w:r w:rsidRPr="00C41DF7">
        <w:t xml:space="preserve">Imagination und Austausch im Kugellager (siehe 4.2.2 Die Kollegen ins Boot holen: Pädagogischer Tag) </w:t>
      </w:r>
    </w:p>
    <w:p w14:paraId="77B814C6" w14:textId="77777777" w:rsidR="00C41DF7" w:rsidRPr="00C41DF7" w:rsidRDefault="00C41DF7" w:rsidP="00245A09">
      <w:pPr>
        <w:pStyle w:val="TextBlocksatz"/>
        <w:numPr>
          <w:ilvl w:val="0"/>
          <w:numId w:val="2"/>
        </w:numPr>
      </w:pPr>
      <w:r w:rsidRPr="00C41DF7">
        <w:t xml:space="preserve">Reflexion und Klärung von Fragen </w:t>
      </w:r>
    </w:p>
    <w:p w14:paraId="1FD96BF3" w14:textId="77777777" w:rsidR="00C41DF7" w:rsidRPr="00C41DF7" w:rsidRDefault="00C41DF7" w:rsidP="00C41DF7">
      <w:pPr>
        <w:pStyle w:val="Zwischenberschrift"/>
        <w:rPr>
          <w:b w:val="0"/>
          <w:bCs w:val="0"/>
        </w:rPr>
      </w:pPr>
      <w:r w:rsidRPr="00C41DF7">
        <w:rPr>
          <w:b w:val="0"/>
          <w:bCs w:val="0"/>
        </w:rPr>
        <w:t xml:space="preserve">Nachbereitung/Vorbereitung: </w:t>
      </w:r>
    </w:p>
    <w:p w14:paraId="730EFC9A" w14:textId="77777777" w:rsidR="00C41DF7" w:rsidRPr="00C41DF7" w:rsidRDefault="00C41DF7" w:rsidP="00245A09">
      <w:pPr>
        <w:pStyle w:val="TextBlocksatz"/>
        <w:numPr>
          <w:ilvl w:val="0"/>
          <w:numId w:val="3"/>
        </w:numPr>
      </w:pPr>
      <w:r w:rsidRPr="00C41DF7">
        <w:t xml:space="preserve">Lehrkräfte sprechen mit Schülern/-innen über Stärken und Talente und klären diese Begriffe. </w:t>
      </w:r>
    </w:p>
    <w:p w14:paraId="20FD8A0C" w14:textId="77777777" w:rsidR="00C41DF7" w:rsidRPr="00C41DF7" w:rsidRDefault="00C41DF7" w:rsidP="00245A09">
      <w:pPr>
        <w:pStyle w:val="TextBlocksatz"/>
        <w:numPr>
          <w:ilvl w:val="0"/>
          <w:numId w:val="3"/>
        </w:numPr>
      </w:pPr>
      <w:r w:rsidRPr="00C41DF7">
        <w:t xml:space="preserve">Anwendung verschiedener Methoden und Vorgehensweisen </w:t>
      </w:r>
    </w:p>
    <w:p w14:paraId="236952F7" w14:textId="77777777" w:rsidR="00C41DF7" w:rsidRPr="00C41DF7" w:rsidRDefault="00C41DF7" w:rsidP="00C41DF7">
      <w:pPr>
        <w:pStyle w:val="TextBlocksatz"/>
      </w:pPr>
    </w:p>
    <w:p w14:paraId="1F3B29DF" w14:textId="5B0FDEB8" w:rsidR="00C41DF7" w:rsidRPr="00C41DF7" w:rsidRDefault="00C41DF7" w:rsidP="00C41DF7">
      <w:pPr>
        <w:pStyle w:val="Zwischenberschrift"/>
      </w:pPr>
      <w:r w:rsidRPr="00C41DF7">
        <w:t>SchiLF 2: TAFF-Lernsituationen schaffen - Stärken und Talen</w:t>
      </w:r>
      <w:r w:rsidRPr="00C41DF7">
        <w:softHyphen/>
        <w:t xml:space="preserve">te sichtbar machen </w:t>
      </w:r>
    </w:p>
    <w:p w14:paraId="3BC206C9" w14:textId="77777777" w:rsidR="00C41DF7" w:rsidRPr="00C41DF7" w:rsidRDefault="00C41DF7" w:rsidP="00245A09">
      <w:pPr>
        <w:pStyle w:val="TextBlocksatz"/>
        <w:numPr>
          <w:ilvl w:val="0"/>
          <w:numId w:val="4"/>
        </w:numPr>
      </w:pPr>
      <w:r w:rsidRPr="00C41DF7">
        <w:t xml:space="preserve">Lehrkräfte präsentieren den Teilnehmern/-innen angewandte Methoden und Vorgehensweisen zur Begriffsklärung und Thematisierung von Stärken und Talenten, diskutieren deren Vorteile/Nachteile und Bedingungen der Durchführung </w:t>
      </w:r>
    </w:p>
    <w:p w14:paraId="1D8B1E65" w14:textId="77777777" w:rsidR="00C41DF7" w:rsidRPr="00C41DF7" w:rsidRDefault="00C41DF7" w:rsidP="00245A09">
      <w:pPr>
        <w:pStyle w:val="TextBlocksatz"/>
        <w:numPr>
          <w:ilvl w:val="0"/>
          <w:numId w:val="4"/>
        </w:numPr>
      </w:pPr>
      <w:r w:rsidRPr="00C41DF7">
        <w:t xml:space="preserve">Diskussion: Welche Lernsituationen sind mehr bzw. weniger geeignet, um Stärken und Talente bei Schülern/-innen zu entdecken? Weshalb? </w:t>
      </w:r>
    </w:p>
    <w:p w14:paraId="60D5BDF6" w14:textId="77777777" w:rsidR="00C41DF7" w:rsidRPr="00C41DF7" w:rsidRDefault="00C41DF7" w:rsidP="00C41DF7">
      <w:pPr>
        <w:pStyle w:val="Zwischenberschrift"/>
        <w:rPr>
          <w:b w:val="0"/>
          <w:bCs w:val="0"/>
        </w:rPr>
      </w:pPr>
      <w:r w:rsidRPr="00C41DF7">
        <w:rPr>
          <w:b w:val="0"/>
          <w:bCs w:val="0"/>
        </w:rPr>
        <w:t xml:space="preserve">Nachbereitung/Vorbereitung: </w:t>
      </w:r>
    </w:p>
    <w:p w14:paraId="02E576FD" w14:textId="77777777" w:rsidR="00C41DF7" w:rsidRPr="00C41DF7" w:rsidRDefault="00C41DF7" w:rsidP="00245A09">
      <w:pPr>
        <w:pStyle w:val="TextBlocksatz"/>
        <w:numPr>
          <w:ilvl w:val="0"/>
          <w:numId w:val="5"/>
        </w:numPr>
      </w:pPr>
      <w:r w:rsidRPr="00C41DF7">
        <w:t>Lehrkräfte arrangieren Lernsituationen, in denen Stärken und Talente entdeckt werden können.</w:t>
      </w:r>
    </w:p>
    <w:p w14:paraId="38127B9D" w14:textId="77777777" w:rsidR="00C41DF7" w:rsidRPr="00C41DF7" w:rsidRDefault="00C41DF7" w:rsidP="00C41DF7">
      <w:pPr>
        <w:pStyle w:val="TextBlocksatz"/>
      </w:pPr>
    </w:p>
    <w:p w14:paraId="381CF640" w14:textId="77777777" w:rsidR="00C41DF7" w:rsidRPr="00C41DF7" w:rsidRDefault="00C41DF7" w:rsidP="00C41DF7">
      <w:pPr>
        <w:pStyle w:val="TextBlocksatz"/>
      </w:pPr>
    </w:p>
    <w:p w14:paraId="0F2AF997" w14:textId="77777777" w:rsidR="00760945" w:rsidRDefault="00760945">
      <w:pPr>
        <w:rPr>
          <w:b/>
          <w:bCs/>
          <w:color w:val="A3770F"/>
        </w:rPr>
      </w:pPr>
      <w:r>
        <w:br w:type="page"/>
      </w:r>
    </w:p>
    <w:p w14:paraId="4A1FD947" w14:textId="461ADA06" w:rsidR="00C41DF7" w:rsidRPr="00C41DF7" w:rsidRDefault="00C41DF7" w:rsidP="00C41DF7">
      <w:pPr>
        <w:pStyle w:val="Zwischenberschrift"/>
      </w:pPr>
      <w:r w:rsidRPr="00C41DF7">
        <w:lastRenderedPageBreak/>
        <w:t xml:space="preserve">SchiLF 3: Auf die Beobachtung kommt es an – Stärken und Talente erkennen </w:t>
      </w:r>
    </w:p>
    <w:p w14:paraId="42DF6570" w14:textId="77777777" w:rsidR="00C41DF7" w:rsidRPr="00C41DF7" w:rsidRDefault="00C41DF7" w:rsidP="00245A09">
      <w:pPr>
        <w:pStyle w:val="TextBlocksatz"/>
        <w:numPr>
          <w:ilvl w:val="0"/>
          <w:numId w:val="6"/>
        </w:numPr>
      </w:pPr>
      <w:r w:rsidRPr="00C41DF7">
        <w:t xml:space="preserve">Lehrkräfte präsentieren den Teilnehmern geeignete und erprobte Lernsituationen, diskutieren deren Vorteile/Nachteile und Bedingungen der Durchführung. </w:t>
      </w:r>
    </w:p>
    <w:p w14:paraId="0F436211" w14:textId="77777777" w:rsidR="00C41DF7" w:rsidRPr="00C41DF7" w:rsidRDefault="00C41DF7" w:rsidP="00245A09">
      <w:pPr>
        <w:pStyle w:val="TextBlocksatz"/>
        <w:numPr>
          <w:ilvl w:val="0"/>
          <w:numId w:val="6"/>
        </w:numPr>
      </w:pPr>
      <w:r w:rsidRPr="00C41DF7">
        <w:t xml:space="preserve">Kurze Einführung zur Beobachtung von Stärken und Talenten </w:t>
      </w:r>
    </w:p>
    <w:p w14:paraId="0C710BA9" w14:textId="77777777" w:rsidR="00C41DF7" w:rsidRPr="00C41DF7" w:rsidRDefault="00C41DF7" w:rsidP="00C41DF7">
      <w:pPr>
        <w:pStyle w:val="Zwischenberschrift"/>
        <w:rPr>
          <w:b w:val="0"/>
          <w:bCs w:val="0"/>
        </w:rPr>
      </w:pPr>
      <w:r w:rsidRPr="00C41DF7">
        <w:rPr>
          <w:b w:val="0"/>
          <w:bCs w:val="0"/>
        </w:rPr>
        <w:t xml:space="preserve">Nachbereitung/Vorbereitung: </w:t>
      </w:r>
    </w:p>
    <w:p w14:paraId="67D91C92" w14:textId="77777777" w:rsidR="00C41DF7" w:rsidRPr="00C41DF7" w:rsidRDefault="00C41DF7" w:rsidP="00245A09">
      <w:pPr>
        <w:pStyle w:val="TextBlocksatz"/>
        <w:numPr>
          <w:ilvl w:val="0"/>
          <w:numId w:val="7"/>
        </w:numPr>
      </w:pPr>
      <w:r w:rsidRPr="00C41DF7">
        <w:t xml:space="preserve">Lehrkräfte wählen mindestens zwei verschiedene Methoden der Beobachtung; Ziel: Bis zur nächsten SCHILF bei jedem Schüler/-in eine Stärke/ein Talent entdecken </w:t>
      </w:r>
    </w:p>
    <w:p w14:paraId="5A4820D5" w14:textId="77777777" w:rsidR="00C41DF7" w:rsidRPr="00C41DF7" w:rsidRDefault="00C41DF7" w:rsidP="00C41DF7">
      <w:pPr>
        <w:pStyle w:val="TextBlocksatz"/>
      </w:pPr>
    </w:p>
    <w:p w14:paraId="1C207E65" w14:textId="77777777" w:rsidR="00C41DF7" w:rsidRPr="00C41DF7" w:rsidRDefault="00C41DF7" w:rsidP="00C41DF7">
      <w:pPr>
        <w:pStyle w:val="Zwischenberschrift"/>
      </w:pPr>
      <w:r w:rsidRPr="00C41DF7">
        <w:t xml:space="preserve">SchiLF 4: Ohne Feedback kein Effekt – Talente stärken </w:t>
      </w:r>
    </w:p>
    <w:p w14:paraId="2F31591B" w14:textId="77777777" w:rsidR="00C41DF7" w:rsidRPr="00C41DF7" w:rsidRDefault="00C41DF7" w:rsidP="00245A09">
      <w:pPr>
        <w:pStyle w:val="TextBlocksatz"/>
        <w:numPr>
          <w:ilvl w:val="0"/>
          <w:numId w:val="8"/>
        </w:numPr>
      </w:pPr>
      <w:r w:rsidRPr="00C41DF7">
        <w:t xml:space="preserve">Lehrkräfte präsentieren den Teilnehmern geeignete und erprobte Methoden der Beobachtung, diskutieren deren Vorteile/Nachteile und Bedingungen der Durchführung. </w:t>
      </w:r>
    </w:p>
    <w:p w14:paraId="133439D4" w14:textId="77777777" w:rsidR="00C41DF7" w:rsidRPr="00C41DF7" w:rsidRDefault="00C41DF7" w:rsidP="00245A09">
      <w:pPr>
        <w:pStyle w:val="TextBlocksatz"/>
        <w:numPr>
          <w:ilvl w:val="0"/>
          <w:numId w:val="8"/>
        </w:numPr>
      </w:pPr>
      <w:r w:rsidRPr="00C41DF7">
        <w:t xml:space="preserve">Kurze Einführung zum Thema „Feedback“ </w:t>
      </w:r>
    </w:p>
    <w:p w14:paraId="3BF69A6A" w14:textId="77777777" w:rsidR="00C41DF7" w:rsidRPr="00C41DF7" w:rsidRDefault="00C41DF7" w:rsidP="00C41DF7">
      <w:pPr>
        <w:pStyle w:val="Zwischenberschrift"/>
        <w:rPr>
          <w:b w:val="0"/>
          <w:bCs w:val="0"/>
        </w:rPr>
      </w:pPr>
      <w:r w:rsidRPr="00C41DF7">
        <w:rPr>
          <w:b w:val="0"/>
          <w:bCs w:val="0"/>
        </w:rPr>
        <w:t xml:space="preserve">Nachbereitung/Vorbereitung: </w:t>
      </w:r>
    </w:p>
    <w:p w14:paraId="7E8E9E9C" w14:textId="77777777" w:rsidR="00C41DF7" w:rsidRPr="00C41DF7" w:rsidRDefault="00C41DF7" w:rsidP="00245A09">
      <w:pPr>
        <w:pStyle w:val="TextBlocksatz"/>
        <w:numPr>
          <w:ilvl w:val="0"/>
          <w:numId w:val="9"/>
        </w:numPr>
      </w:pPr>
      <w:r w:rsidRPr="00C41DF7">
        <w:t xml:space="preserve">Lehrkräfte wählen mindestens zwei verschiedene Möglichkeiten aus, den Schülern/-innen Stärken und Talente rückzumelden. </w:t>
      </w:r>
    </w:p>
    <w:p w14:paraId="663748B6" w14:textId="77777777" w:rsidR="00C41DF7" w:rsidRPr="00C41DF7" w:rsidRDefault="00C41DF7" w:rsidP="00C41DF7">
      <w:pPr>
        <w:pStyle w:val="TextBlocksatz"/>
      </w:pPr>
    </w:p>
    <w:p w14:paraId="71ED60C1" w14:textId="77777777" w:rsidR="00C41DF7" w:rsidRPr="00C41DF7" w:rsidRDefault="00C41DF7" w:rsidP="00C41DF7">
      <w:pPr>
        <w:pStyle w:val="Zwischenberschrift"/>
      </w:pPr>
      <w:r w:rsidRPr="00C41DF7">
        <w:t xml:space="preserve">SchiLF 5: „Du bist einzigartig und wertvoll“ – Talente fördern und das Schulleben bereichern </w:t>
      </w:r>
    </w:p>
    <w:p w14:paraId="0517D720" w14:textId="77777777" w:rsidR="00C41DF7" w:rsidRPr="00C41DF7" w:rsidRDefault="00C41DF7" w:rsidP="00245A09">
      <w:pPr>
        <w:pStyle w:val="TextBlocksatz"/>
        <w:numPr>
          <w:ilvl w:val="0"/>
          <w:numId w:val="10"/>
        </w:numPr>
      </w:pPr>
      <w:r w:rsidRPr="00C41DF7">
        <w:t xml:space="preserve">Lehrkräfte präsentieren den Teilnehmern/-innen geeignete und erprobte Möglichkeiten der Rückmeldung, diskutieren deren Vorteile/Nachteile und Bedingungen der Durchführung. </w:t>
      </w:r>
    </w:p>
    <w:p w14:paraId="7EA49E5E" w14:textId="77777777" w:rsidR="00C41DF7" w:rsidRPr="00C41DF7" w:rsidRDefault="00C41DF7" w:rsidP="00245A09">
      <w:pPr>
        <w:pStyle w:val="TextBlocksatz"/>
        <w:numPr>
          <w:ilvl w:val="0"/>
          <w:numId w:val="10"/>
        </w:numPr>
      </w:pPr>
      <w:r w:rsidRPr="00C41DF7">
        <w:t xml:space="preserve">Arbeit in Gruppen: </w:t>
      </w:r>
    </w:p>
    <w:p w14:paraId="0C5C81C0" w14:textId="66A060A2" w:rsidR="00C41DF7" w:rsidRPr="00C41DF7" w:rsidRDefault="00C41DF7" w:rsidP="00245A09">
      <w:pPr>
        <w:pStyle w:val="TextBlocksatz"/>
        <w:numPr>
          <w:ilvl w:val="1"/>
          <w:numId w:val="10"/>
        </w:numPr>
      </w:pPr>
      <w:r w:rsidRPr="00C41DF7">
        <w:t xml:space="preserve">Wie können die gefundenen Stärken und Talente das Schulleben bereichern? </w:t>
      </w:r>
    </w:p>
    <w:p w14:paraId="5460AD28" w14:textId="77777777" w:rsidR="00C41DF7" w:rsidRPr="00C41DF7" w:rsidRDefault="00C41DF7" w:rsidP="00245A09">
      <w:pPr>
        <w:pStyle w:val="TextBlocksatz"/>
        <w:numPr>
          <w:ilvl w:val="1"/>
          <w:numId w:val="10"/>
        </w:numPr>
      </w:pPr>
      <w:r w:rsidRPr="00C41DF7">
        <w:t>Wie können wir TAFF in einen breiten Schulentwicklungsprozess integrieren?</w:t>
      </w:r>
    </w:p>
    <w:p w14:paraId="45849650" w14:textId="4849DAEE" w:rsidR="006C0D91" w:rsidRPr="006C0D91" w:rsidRDefault="00CF3802" w:rsidP="00C41DF7">
      <w:pPr>
        <w:pStyle w:val="TextBlocksatz"/>
        <w:ind w:left="454"/>
      </w:pPr>
      <w:r w:rsidRPr="000B2F5D">
        <w:rPr>
          <w:rFonts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328437F" wp14:editId="3DC10CCB">
            <wp:simplePos x="0" y="0"/>
            <wp:positionH relativeFrom="column">
              <wp:posOffset>3810</wp:posOffset>
            </wp:positionH>
            <wp:positionV relativeFrom="paragraph">
              <wp:posOffset>151620</wp:posOffset>
            </wp:positionV>
            <wp:extent cx="6516370" cy="1054100"/>
            <wp:effectExtent l="0" t="0" r="0" b="0"/>
            <wp:wrapThrough wrapText="bothSides">
              <wp:wrapPolygon edited="0">
                <wp:start x="0" y="0"/>
                <wp:lineTo x="0" y="21340"/>
                <wp:lineTo x="21554" y="21340"/>
                <wp:lineTo x="21554" y="0"/>
                <wp:lineTo x="0" y="0"/>
              </wp:wrapPolygon>
            </wp:wrapThrough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0D91" w:rsidRPr="006C0D91" w:rsidSect="00D554CD">
      <w:headerReference w:type="default" r:id="rId8"/>
      <w:footerReference w:type="default" r:id="rId9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FDB6" w14:textId="77777777" w:rsidR="00245A09" w:rsidRDefault="00245A09" w:rsidP="00054348">
      <w:pPr>
        <w:spacing w:after="0" w:line="240" w:lineRule="auto"/>
      </w:pPr>
      <w:r>
        <w:separator/>
      </w:r>
    </w:p>
  </w:endnote>
  <w:endnote w:type="continuationSeparator" w:id="0">
    <w:p w14:paraId="4496EC14" w14:textId="77777777" w:rsidR="00245A09" w:rsidRDefault="00245A09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667583" w:rsidRPr="00561A0A" w:rsidRDefault="00667583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667583" w:rsidRPr="0003791C" w:rsidRDefault="00667583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6C27DD" w:rsidRPr="00561A0A" w:rsidRDefault="006C27DD" w:rsidP="00561A0A">
        <w:pPr>
          <w:pStyle w:val="Fuzeile"/>
        </w:pPr>
      </w:p>
      <w:p w14:paraId="16633B73" w14:textId="77777777" w:rsidR="00667583" w:rsidRPr="00561A0A" w:rsidRDefault="00245A09" w:rsidP="00561A0A">
        <w:pPr>
          <w:pStyle w:val="Fuzeile"/>
        </w:pPr>
      </w:p>
    </w:sdtContent>
  </w:sdt>
  <w:p w14:paraId="058962FC" w14:textId="13FD4A7E" w:rsidR="00054348" w:rsidRPr="0003791C" w:rsidRDefault="00245A09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667583" w:rsidRPr="0003791C">
          <w:rPr>
            <w:color w:val="000000" w:themeColor="text1"/>
            <w:sz w:val="20"/>
            <w:szCs w:val="20"/>
          </w:rPr>
          <w:fldChar w:fldCharType="begin"/>
        </w:r>
        <w:r w:rsidR="00667583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667583" w:rsidRPr="0003791C">
          <w:rPr>
            <w:color w:val="000000" w:themeColor="text1"/>
            <w:sz w:val="20"/>
            <w:szCs w:val="20"/>
          </w:rPr>
          <w:fldChar w:fldCharType="separate"/>
        </w:r>
        <w:r w:rsidR="00667583" w:rsidRPr="0003791C">
          <w:rPr>
            <w:color w:val="000000" w:themeColor="text1"/>
            <w:sz w:val="20"/>
            <w:szCs w:val="20"/>
          </w:rPr>
          <w:t>1</w:t>
        </w:r>
        <w:r w:rsidR="00667583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7AC9" w14:textId="77777777" w:rsidR="00245A09" w:rsidRDefault="00245A09" w:rsidP="00054348">
      <w:pPr>
        <w:spacing w:after="0" w:line="240" w:lineRule="auto"/>
      </w:pPr>
      <w:r>
        <w:separator/>
      </w:r>
    </w:p>
  </w:footnote>
  <w:footnote w:type="continuationSeparator" w:id="0">
    <w:p w14:paraId="38A1A571" w14:textId="77777777" w:rsidR="00245A09" w:rsidRDefault="00245A09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2763" w14:textId="77777777" w:rsidR="00C41DF7" w:rsidRDefault="00667583" w:rsidP="00C41DF7">
    <w:pPr>
      <w:pStyle w:val="Kopfzeile"/>
      <w:rPr>
        <w:b/>
        <w:bCs/>
      </w:rPr>
    </w:pPr>
    <w:r w:rsidRPr="00C41DF7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333" w:rsidRPr="00C41DF7">
      <w:rPr>
        <w:b/>
        <w:bCs/>
      </w:rPr>
      <w:t>05</w:t>
    </w:r>
    <w:r w:rsidR="00CC2CC3" w:rsidRPr="00C41DF7">
      <w:rPr>
        <w:b/>
        <w:bCs/>
      </w:rPr>
      <w:t xml:space="preserve"> </w:t>
    </w:r>
    <w:r w:rsidR="00C41DF7" w:rsidRPr="00C41DF7">
      <w:rPr>
        <w:b/>
        <w:bCs/>
      </w:rPr>
      <w:t>Der Weg zur TAFF-Schule</w:t>
    </w:r>
  </w:p>
  <w:p w14:paraId="29649219" w14:textId="2C597F94" w:rsidR="00C41DF7" w:rsidRPr="00C41DF7" w:rsidRDefault="00C41DF7" w:rsidP="00C41DF7">
    <w:pPr>
      <w:pStyle w:val="Kopfzeile"/>
      <w:rPr>
        <w:b/>
        <w:bCs/>
      </w:rPr>
    </w:pPr>
    <w:r w:rsidRPr="00C41DF7">
      <w:t xml:space="preserve">4.2.2 Die Kollegen ins Boot holen und die Motivation erhalten – </w:t>
    </w:r>
    <w:r>
      <w:br/>
    </w:r>
    <w:r w:rsidRPr="00C41DF7">
      <w:t>geeignete Formate für die Weiterbildung</w:t>
    </w:r>
  </w:p>
  <w:p w14:paraId="57810FE4" w14:textId="1245875A" w:rsidR="00054348" w:rsidRPr="00667583" w:rsidRDefault="00054348" w:rsidP="00C41DF7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9A0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0F1E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051FC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032BF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9630F"/>
    <w:multiLevelType w:val="multilevel"/>
    <w:tmpl w:val="EA6CE710"/>
    <w:styleLink w:val="Aufzhlung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4DA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B6AAE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E78DE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D215A8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F53EDB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e-DE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11E53"/>
    <w:rsid w:val="00013666"/>
    <w:rsid w:val="00020198"/>
    <w:rsid w:val="00020520"/>
    <w:rsid w:val="0003791C"/>
    <w:rsid w:val="00054348"/>
    <w:rsid w:val="000776D9"/>
    <w:rsid w:val="000942AB"/>
    <w:rsid w:val="000A481B"/>
    <w:rsid w:val="000B1BB7"/>
    <w:rsid w:val="000B2F5D"/>
    <w:rsid w:val="000C163E"/>
    <w:rsid w:val="000F759E"/>
    <w:rsid w:val="001009B2"/>
    <w:rsid w:val="00114C23"/>
    <w:rsid w:val="00134505"/>
    <w:rsid w:val="00146F33"/>
    <w:rsid w:val="0014755F"/>
    <w:rsid w:val="00195750"/>
    <w:rsid w:val="001C6241"/>
    <w:rsid w:val="001D2437"/>
    <w:rsid w:val="001E1A10"/>
    <w:rsid w:val="001E26D3"/>
    <w:rsid w:val="001E2942"/>
    <w:rsid w:val="00202368"/>
    <w:rsid w:val="0022649F"/>
    <w:rsid w:val="00245A09"/>
    <w:rsid w:val="00257D49"/>
    <w:rsid w:val="002616C6"/>
    <w:rsid w:val="002700E5"/>
    <w:rsid w:val="0027713D"/>
    <w:rsid w:val="0028634B"/>
    <w:rsid w:val="00331DE2"/>
    <w:rsid w:val="003417A4"/>
    <w:rsid w:val="003B4667"/>
    <w:rsid w:val="003C370C"/>
    <w:rsid w:val="003D6381"/>
    <w:rsid w:val="003F3FA0"/>
    <w:rsid w:val="003F44BB"/>
    <w:rsid w:val="00411763"/>
    <w:rsid w:val="00441BB6"/>
    <w:rsid w:val="004655FA"/>
    <w:rsid w:val="004C17B2"/>
    <w:rsid w:val="004D7C24"/>
    <w:rsid w:val="00527807"/>
    <w:rsid w:val="00553FA7"/>
    <w:rsid w:val="0055758E"/>
    <w:rsid w:val="00561A0A"/>
    <w:rsid w:val="005B3CEE"/>
    <w:rsid w:val="00602497"/>
    <w:rsid w:val="006115A6"/>
    <w:rsid w:val="00611D9E"/>
    <w:rsid w:val="00667583"/>
    <w:rsid w:val="006749D8"/>
    <w:rsid w:val="00680C85"/>
    <w:rsid w:val="006823AA"/>
    <w:rsid w:val="00684423"/>
    <w:rsid w:val="006B2E34"/>
    <w:rsid w:val="006C0D91"/>
    <w:rsid w:val="006C27DD"/>
    <w:rsid w:val="006E49B6"/>
    <w:rsid w:val="006F5F73"/>
    <w:rsid w:val="007178F9"/>
    <w:rsid w:val="00732CA9"/>
    <w:rsid w:val="00737E3E"/>
    <w:rsid w:val="00743109"/>
    <w:rsid w:val="00760945"/>
    <w:rsid w:val="007816E8"/>
    <w:rsid w:val="007953AF"/>
    <w:rsid w:val="007A54E0"/>
    <w:rsid w:val="007A62A9"/>
    <w:rsid w:val="007B0BDE"/>
    <w:rsid w:val="00870D9C"/>
    <w:rsid w:val="008A3A61"/>
    <w:rsid w:val="008C3555"/>
    <w:rsid w:val="008D06B9"/>
    <w:rsid w:val="008D4B3F"/>
    <w:rsid w:val="008F7E86"/>
    <w:rsid w:val="00914519"/>
    <w:rsid w:val="00923631"/>
    <w:rsid w:val="00930913"/>
    <w:rsid w:val="00936FFC"/>
    <w:rsid w:val="00945B14"/>
    <w:rsid w:val="00946B3D"/>
    <w:rsid w:val="00992EBE"/>
    <w:rsid w:val="009A064B"/>
    <w:rsid w:val="009B0232"/>
    <w:rsid w:val="009B2C37"/>
    <w:rsid w:val="009E1E92"/>
    <w:rsid w:val="009E4033"/>
    <w:rsid w:val="00A101CC"/>
    <w:rsid w:val="00A2555C"/>
    <w:rsid w:val="00A46DDC"/>
    <w:rsid w:val="00A63CE4"/>
    <w:rsid w:val="00A93E70"/>
    <w:rsid w:val="00AB5BEA"/>
    <w:rsid w:val="00B24A1D"/>
    <w:rsid w:val="00B45AC9"/>
    <w:rsid w:val="00B53268"/>
    <w:rsid w:val="00B55C3C"/>
    <w:rsid w:val="00B709B0"/>
    <w:rsid w:val="00B72B0F"/>
    <w:rsid w:val="00B8431D"/>
    <w:rsid w:val="00BA2085"/>
    <w:rsid w:val="00BC0971"/>
    <w:rsid w:val="00BC4CB3"/>
    <w:rsid w:val="00BE067C"/>
    <w:rsid w:val="00BE3E65"/>
    <w:rsid w:val="00C41DF7"/>
    <w:rsid w:val="00C55B87"/>
    <w:rsid w:val="00C64541"/>
    <w:rsid w:val="00C90245"/>
    <w:rsid w:val="00C911C2"/>
    <w:rsid w:val="00C96259"/>
    <w:rsid w:val="00CB2DCE"/>
    <w:rsid w:val="00CB432E"/>
    <w:rsid w:val="00CC2CC3"/>
    <w:rsid w:val="00CF3802"/>
    <w:rsid w:val="00D16744"/>
    <w:rsid w:val="00D447BC"/>
    <w:rsid w:val="00D477A9"/>
    <w:rsid w:val="00D554CD"/>
    <w:rsid w:val="00D60D41"/>
    <w:rsid w:val="00D81C1E"/>
    <w:rsid w:val="00DA4101"/>
    <w:rsid w:val="00DB5F09"/>
    <w:rsid w:val="00DC0333"/>
    <w:rsid w:val="00DD6584"/>
    <w:rsid w:val="00E124DB"/>
    <w:rsid w:val="00E132BE"/>
    <w:rsid w:val="00E20FF7"/>
    <w:rsid w:val="00E35311"/>
    <w:rsid w:val="00E42089"/>
    <w:rsid w:val="00E5495C"/>
    <w:rsid w:val="00E55797"/>
    <w:rsid w:val="00E75306"/>
    <w:rsid w:val="00EB3F1A"/>
    <w:rsid w:val="00ED37DB"/>
    <w:rsid w:val="00ED4FD6"/>
    <w:rsid w:val="00F0249A"/>
    <w:rsid w:val="00F277A5"/>
    <w:rsid w:val="00F323E5"/>
    <w:rsid w:val="00F5103A"/>
    <w:rsid w:val="00F86CCE"/>
    <w:rsid w:val="00F9695D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802"/>
    <w:pPr>
      <w:spacing w:after="120" w:line="240" w:lineRule="auto"/>
      <w:ind w:left="720"/>
    </w:pPr>
    <w:rPr>
      <w:rFonts w:eastAsiaTheme="minorEastAsia" w:cs="Times New Roman (Textkörper CS)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41DF7"/>
    <w:pPr>
      <w:tabs>
        <w:tab w:val="center" w:pos="4536"/>
        <w:tab w:val="right" w:pos="9072"/>
      </w:tabs>
      <w:spacing w:after="120" w:line="240" w:lineRule="auto"/>
      <w:jc w:val="right"/>
    </w:pPr>
    <w:rPr>
      <w:color w:val="A3770F"/>
    </w:rPr>
  </w:style>
  <w:style w:type="character" w:customStyle="1" w:styleId="KopfzeileZchn">
    <w:name w:val="Kopfzeile Zchn"/>
    <w:basedOn w:val="Absatz-Standardschriftart"/>
    <w:link w:val="Kopfzeile"/>
    <w:uiPriority w:val="99"/>
    <w:rsid w:val="00C41DF7"/>
    <w:rPr>
      <w:rFonts w:ascii="Arial" w:hAnsi="Arial"/>
      <w:color w:val="A3770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3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41DF7"/>
    <w:rPr>
      <w:color w:val="A3770F"/>
      <w:sz w:val="36"/>
      <w:szCs w:val="36"/>
    </w:rPr>
  </w:style>
  <w:style w:type="paragraph" w:customStyle="1" w:styleId="Zwischenberschrift">
    <w:name w:val="Zwischenüberschrift"/>
    <w:basedOn w:val="Standard"/>
    <w:qFormat/>
    <w:rsid w:val="00C41DF7"/>
    <w:rPr>
      <w:b/>
      <w:bCs/>
      <w:color w:val="A3770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  <w:style w:type="numbering" w:customStyle="1" w:styleId="Aufzhlung">
    <w:name w:val="Aufzählung"/>
    <w:basedOn w:val="KeineListe"/>
    <w:uiPriority w:val="99"/>
    <w:rsid w:val="00870D9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4</cp:revision>
  <cp:lastPrinted>2021-03-18T09:05:00Z</cp:lastPrinted>
  <dcterms:created xsi:type="dcterms:W3CDTF">2021-03-18T09:05:00Z</dcterms:created>
  <dcterms:modified xsi:type="dcterms:W3CDTF">2021-03-18T09:50:00Z</dcterms:modified>
</cp:coreProperties>
</file>